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sz w:val="24"/>
        </w:rPr>
      </w:pPr>
    </w:p>
    <w:p>
      <w:pPr>
        <w:pStyle w:val="15"/>
        <w:jc w:val="center"/>
        <w:rPr>
          <w:rFonts w:hint="default"/>
          <w:spacing w:val="5"/>
          <w:sz w:val="28"/>
        </w:rPr>
      </w:pPr>
      <w:r>
        <w:rPr>
          <w:rFonts w:hint="eastAsia"/>
          <w:spacing w:val="5"/>
          <w:sz w:val="28"/>
        </w:rPr>
        <w:t>質問書に対する回答書</w:t>
      </w:r>
    </w:p>
    <w:p>
      <w:pPr>
        <w:pStyle w:val="15"/>
        <w:rPr>
          <w:rFonts w:hint="default" w:ascii="Century" w:hAnsi="Century"/>
          <w:sz w:val="24"/>
        </w:rPr>
      </w:pPr>
    </w:p>
    <w:p>
      <w:pPr>
        <w:pStyle w:val="15"/>
        <w:ind w:firstLine="5764" w:firstLineChars="2200"/>
        <w:rPr>
          <w:rFonts w:hint="default"/>
          <w:spacing w:val="0"/>
          <w:sz w:val="24"/>
        </w:rPr>
      </w:pPr>
      <w:r>
        <w:rPr>
          <w:rFonts w:hint="eastAsia" w:ascii="Century" w:hAnsi="Century"/>
          <w:sz w:val="24"/>
        </w:rPr>
        <w:t>　</w:t>
      </w:r>
      <w:r>
        <w:rPr>
          <w:rFonts w:hint="eastAsia" w:ascii="Century" w:hAnsi="Century"/>
          <w:sz w:val="24"/>
        </w:rPr>
        <w:t xml:space="preserve"> </w:t>
      </w:r>
      <w:r>
        <w:rPr>
          <w:rFonts w:hint="eastAsia" w:ascii="Century" w:hAnsi="Century"/>
          <w:sz w:val="24"/>
        </w:rPr>
        <w:t>　　令和７年４月３０</w:t>
      </w:r>
      <w:bookmarkStart w:id="0" w:name="_GoBack"/>
      <w:bookmarkEnd w:id="0"/>
      <w:r>
        <w:rPr>
          <w:rFonts w:hint="eastAsia" w:ascii="Century" w:hAnsi="Century"/>
          <w:sz w:val="24"/>
        </w:rPr>
        <w:t>日　</w:t>
      </w:r>
    </w:p>
    <w:p>
      <w:pPr>
        <w:pStyle w:val="15"/>
        <w:rPr>
          <w:rFonts w:hint="default"/>
          <w:spacing w:val="0"/>
          <w:sz w:val="24"/>
        </w:rPr>
      </w:pPr>
    </w:p>
    <w:tbl>
      <w:tblPr>
        <w:tblStyle w:val="11"/>
        <w:tblW w:w="9157" w:type="dxa"/>
        <w:tblInd w:w="14" w:type="dxa"/>
        <w:tblLayout w:type="fixed"/>
        <w:tblCellMar>
          <w:left w:w="57" w:type="dxa"/>
          <w:right w:w="113" w:type="dxa"/>
        </w:tblCellMar>
        <w:tblLook w:firstRow="0" w:lastRow="0" w:firstColumn="0" w:lastColumn="0" w:noHBand="0" w:noVBand="0" w:val="0000"/>
      </w:tblPr>
      <w:tblGrid>
        <w:gridCol w:w="2085"/>
        <w:gridCol w:w="2576"/>
        <w:gridCol w:w="4496"/>
      </w:tblGrid>
      <w:tr>
        <w:trPr>
          <w:trHeight w:val="888" w:hRule="atLeast"/>
        </w:trPr>
        <w:tc>
          <w:tcPr>
            <w:tcW w:w="2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pacing w:val="0"/>
                <w:sz w:val="24"/>
              </w:rPr>
            </w:pPr>
            <w:r>
              <w:rPr>
                <w:rFonts w:hint="eastAsia"/>
                <w:spacing w:val="150"/>
                <w:sz w:val="24"/>
              </w:rPr>
              <w:t>工事</w:t>
            </w:r>
            <w:r>
              <w:rPr>
                <w:rFonts w:hint="eastAsia"/>
                <w:sz w:val="24"/>
              </w:rPr>
              <w:t>名</w:t>
            </w:r>
          </w:p>
        </w:tc>
        <w:tc>
          <w:tcPr>
            <w:tcW w:w="707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ind w:firstLine="187" w:firstLineChars="78"/>
              <w:rPr>
                <w:rFonts w:hint="default"/>
                <w:spacing w:val="0"/>
                <w:sz w:val="24"/>
              </w:rPr>
            </w:pPr>
            <w:r>
              <w:rPr>
                <w:rFonts w:hint="eastAsia"/>
                <w:spacing w:val="0"/>
                <w:sz w:val="24"/>
              </w:rPr>
              <w:t>マロンの里改修工事（電気設備工事）</w:t>
            </w:r>
          </w:p>
        </w:tc>
      </w:tr>
      <w:tr>
        <w:trPr>
          <w:trHeight w:val="829" w:hRule="atLeast"/>
        </w:trPr>
        <w:tc>
          <w:tcPr>
            <w:tcW w:w="2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pacing w:val="0"/>
                <w:sz w:val="24"/>
              </w:rPr>
            </w:pPr>
            <w:r>
              <w:rPr>
                <w:rFonts w:hint="eastAsia"/>
                <w:spacing w:val="0"/>
                <w:sz w:val="24"/>
              </w:rPr>
              <w:t>工　事</w:t>
            </w:r>
            <w:r>
              <w:rPr>
                <w:rFonts w:hint="eastAsia"/>
                <w:spacing w:val="0"/>
                <w:sz w:val="24"/>
              </w:rPr>
              <w:t xml:space="preserve"> </w:t>
            </w:r>
            <w:r>
              <w:rPr>
                <w:rFonts w:hint="eastAsia"/>
                <w:spacing w:val="0"/>
                <w:sz w:val="24"/>
              </w:rPr>
              <w:t>場</w:t>
            </w:r>
            <w:r>
              <w:rPr>
                <w:rFonts w:hint="eastAsia"/>
                <w:spacing w:val="0"/>
                <w:sz w:val="24"/>
              </w:rPr>
              <w:t xml:space="preserve"> </w:t>
            </w:r>
            <w:r>
              <w:rPr>
                <w:rFonts w:hint="eastAsia"/>
                <w:spacing w:val="0"/>
                <w:sz w:val="24"/>
              </w:rPr>
              <w:t>所</w:t>
            </w:r>
          </w:p>
        </w:tc>
        <w:tc>
          <w:tcPr>
            <w:tcW w:w="707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ind w:firstLine="187" w:firstLineChars="78"/>
              <w:rPr>
                <w:rFonts w:hint="default"/>
                <w:spacing w:val="0"/>
                <w:sz w:val="24"/>
              </w:rPr>
            </w:pPr>
            <w:r>
              <w:rPr>
                <w:rFonts w:hint="eastAsia"/>
                <w:spacing w:val="0"/>
                <w:sz w:val="24"/>
              </w:rPr>
              <w:t>大竹市栗谷町大栗林　地内</w:t>
            </w:r>
          </w:p>
        </w:tc>
      </w:tr>
      <w:tr>
        <w:trPr>
          <w:trHeight w:val="569" w:hRule="atLeast"/>
        </w:trPr>
        <w:tc>
          <w:tcPr>
            <w:tcW w:w="46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Century" w:hAnsi="Century"/>
                <w:spacing w:val="8"/>
                <w:sz w:val="24"/>
              </w:rPr>
            </w:pPr>
            <w:r>
              <w:rPr>
                <w:rFonts w:hint="eastAsia" w:ascii="Century" w:hAnsi="Century"/>
                <w:spacing w:val="8"/>
                <w:sz w:val="24"/>
              </w:rPr>
              <w:t>質</w:t>
            </w:r>
            <w:r>
              <w:rPr>
                <w:rFonts w:hint="default"/>
                <w:spacing w:val="4"/>
                <w:sz w:val="24"/>
              </w:rPr>
              <w:t xml:space="preserve"> </w:t>
            </w:r>
            <w:r>
              <w:rPr>
                <w:rFonts w:hint="eastAsia" w:ascii="Century" w:hAnsi="Century"/>
                <w:spacing w:val="8"/>
                <w:sz w:val="24"/>
              </w:rPr>
              <w:t>問</w:t>
            </w:r>
            <w:r>
              <w:rPr>
                <w:rFonts w:hint="default" w:ascii="Century" w:hAnsi="Century"/>
                <w:spacing w:val="8"/>
                <w:sz w:val="24"/>
              </w:rPr>
              <w:t xml:space="preserve"> </w:t>
            </w:r>
            <w:r>
              <w:rPr>
                <w:rFonts w:hint="eastAsia" w:ascii="Century" w:hAnsi="Century"/>
                <w:spacing w:val="8"/>
                <w:sz w:val="24"/>
              </w:rPr>
              <w:t>内</w:t>
            </w:r>
            <w:r>
              <w:rPr>
                <w:rFonts w:hint="default" w:ascii="Century" w:hAnsi="Century"/>
                <w:spacing w:val="8"/>
                <w:sz w:val="24"/>
              </w:rPr>
              <w:t xml:space="preserve"> </w:t>
            </w:r>
            <w:r>
              <w:rPr>
                <w:rFonts w:hint="eastAsia" w:ascii="Century" w:hAnsi="Century"/>
                <w:spacing w:val="8"/>
                <w:sz w:val="24"/>
              </w:rPr>
              <w:t>容</w:t>
            </w:r>
          </w:p>
        </w:tc>
        <w:tc>
          <w:tcPr>
            <w:tcW w:w="4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211"/>
              <w:jc w:val="center"/>
              <w:rPr>
                <w:rFonts w:hint="default"/>
                <w:spacing w:val="0"/>
                <w:sz w:val="24"/>
              </w:rPr>
            </w:pPr>
            <w:r>
              <w:rPr>
                <w:rFonts w:hint="eastAsia"/>
                <w:spacing w:val="0"/>
                <w:sz w:val="24"/>
              </w:rPr>
              <w:t>回</w:t>
            </w:r>
            <w:r>
              <w:rPr>
                <w:rFonts w:hint="default"/>
                <w:spacing w:val="0"/>
                <w:sz w:val="24"/>
              </w:rPr>
              <w:t xml:space="preserve"> </w:t>
            </w:r>
            <w:r>
              <w:rPr>
                <w:rFonts w:hint="eastAsia"/>
                <w:spacing w:val="0"/>
                <w:sz w:val="24"/>
              </w:rPr>
              <w:t>　答</w:t>
            </w:r>
          </w:p>
        </w:tc>
      </w:tr>
      <w:tr>
        <w:trPr>
          <w:trHeight w:val="2160" w:hRule="atLeast"/>
        </w:trPr>
        <w:tc>
          <w:tcPr>
            <w:tcW w:w="46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numPr>
                <w:ilvl w:val="0"/>
                <w:numId w:val="1"/>
              </w:numPr>
              <w:ind w:leftChars="0"/>
              <w:rPr>
                <w:rFonts w:hint="default"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受変電設備の改修の中に変圧器（</w:t>
            </w:r>
            <w:r>
              <w:rPr>
                <w:rFonts w:hint="eastAsia" w:asciiTheme="minorEastAsia" w:hAnsiTheme="minorEastAsia" w:eastAsiaTheme="minorEastAsia"/>
                <w:sz w:val="22"/>
              </w:rPr>
              <w:t>JIS C 4304-2013</w:t>
            </w:r>
            <w:r>
              <w:rPr>
                <w:rFonts w:hint="eastAsia" w:asciiTheme="minorEastAsia" w:hAnsiTheme="minorEastAsia" w:eastAsiaTheme="minorEastAsia"/>
                <w:sz w:val="22"/>
              </w:rPr>
              <w:t>適合品）がありますが今年度より新基準の出荷が始まる為、本工事で設計されている旧基準の変圧器を早期に発注する必要があります。</w:t>
            </w:r>
          </w:p>
          <w:p>
            <w:pPr>
              <w:pStyle w:val="22"/>
              <w:ind w:left="419" w:leftChars="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製造先から</w:t>
            </w:r>
            <w:r>
              <w:rPr>
                <w:rFonts w:hint="eastAsia" w:asciiTheme="minorEastAsia" w:hAnsiTheme="minorEastAsia" w:eastAsiaTheme="minorEastAsia"/>
                <w:sz w:val="22"/>
              </w:rPr>
              <w:t>6</w:t>
            </w:r>
            <w:r>
              <w:rPr>
                <w:rFonts w:hint="eastAsia" w:asciiTheme="minorEastAsia" w:hAnsiTheme="minorEastAsia" w:eastAsiaTheme="minorEastAsia"/>
                <w:sz w:val="22"/>
              </w:rPr>
              <w:t>月には承諾発注しないと工期に支障があると通達がありました。</w:t>
            </w:r>
          </w:p>
          <w:p>
            <w:pPr>
              <w:pStyle w:val="22"/>
              <w:ind w:left="419" w:leftChars="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新基準の変圧器は寸法、価格共に、大きく変わる為、キュービクルの設計の見直しも必要となります。</w:t>
            </w:r>
          </w:p>
          <w:p>
            <w:pPr>
              <w:pStyle w:val="22"/>
              <w:ind w:left="419" w:leftChars="0"/>
              <w:rPr>
                <w:rFonts w:hint="default"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以上の条件で旧基準の変圧器で積算してよいでしょうか。</w:t>
            </w:r>
          </w:p>
        </w:tc>
        <w:tc>
          <w:tcPr>
            <w:tcW w:w="4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60" w:lineRule="exact"/>
              <w:rPr>
                <w:rFonts w:hint="default"/>
                <w:spacing w:val="0"/>
                <w:sz w:val="22"/>
              </w:rPr>
            </w:pPr>
            <w:r>
              <w:rPr>
                <w:rFonts w:hint="eastAsia"/>
                <w:spacing w:val="0"/>
                <w:sz w:val="22"/>
              </w:rPr>
              <w:t>よろしいです。</w:t>
            </w:r>
          </w:p>
        </w:tc>
      </w:tr>
      <w:tr>
        <w:trPr>
          <w:trHeight w:val="2160" w:hRule="atLeast"/>
        </w:trPr>
        <w:tc>
          <w:tcPr>
            <w:tcW w:w="46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ind w:left="440" w:leftChars="0" w:hanging="440" w:hangingChars="200"/>
              <w:rPr>
                <w:rFonts w:hint="default" w:asciiTheme="minorEastAsia" w:hAnsiTheme="minorEastAsia" w:eastAsiaTheme="minorEastAsia"/>
                <w:sz w:val="22"/>
              </w:rPr>
            </w:pPr>
            <w:r>
              <w:rPr>
                <w:rFonts w:hint="eastAsia" w:asciiTheme="minorEastAsia" w:hAnsiTheme="minorEastAsia" w:eastAsiaTheme="minorEastAsia"/>
                <w:sz w:val="22"/>
              </w:rPr>
              <w:t>⑮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分電盤</w:t>
            </w:r>
            <w:r>
              <w:rPr>
                <w:rFonts w:hint="eastAsia" w:asciiTheme="minorEastAsia" w:hAnsiTheme="minorEastAsia" w:eastAsiaTheme="minorEastAsia"/>
                <w:sz w:val="22"/>
              </w:rPr>
              <w:t>L</w:t>
            </w:r>
            <w:r>
              <w:rPr>
                <w:rFonts w:hint="eastAsia" w:asciiTheme="minorEastAsia" w:hAnsiTheme="minorEastAsia" w:eastAsiaTheme="minorEastAsia"/>
                <w:sz w:val="22"/>
              </w:rPr>
              <w:t>－</w:t>
            </w:r>
            <w:r>
              <w:rPr>
                <w:rFonts w:hint="eastAsia" w:asciiTheme="minorEastAsia" w:hAnsiTheme="minorEastAsia" w:eastAsiaTheme="minorEastAsia"/>
                <w:sz w:val="22"/>
              </w:rPr>
              <w:t>S</w:t>
            </w:r>
            <w:r>
              <w:rPr>
                <w:rFonts w:hint="eastAsia" w:asciiTheme="minorEastAsia" w:hAnsiTheme="minorEastAsia" w:eastAsiaTheme="minorEastAsia"/>
                <w:sz w:val="22"/>
              </w:rPr>
              <w:t>の盤図を、頂けないでしょうか。</w:t>
            </w:r>
          </w:p>
        </w:tc>
        <w:tc>
          <w:tcPr>
            <w:tcW w:w="4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図面　電</w:t>
            </w:r>
            <w:r>
              <w:rPr>
                <w:rFonts w:hint="eastAsia" w:asciiTheme="minorEastAsia" w:hAnsiTheme="minorEastAsia" w:eastAsiaTheme="minorEastAsia"/>
                <w:sz w:val="22"/>
              </w:rPr>
              <w:t>気</w:t>
            </w:r>
            <w:r>
              <w:rPr>
                <w:rFonts w:hint="eastAsia" w:asciiTheme="minorEastAsia" w:hAnsiTheme="minorEastAsia" w:eastAsiaTheme="minorEastAsia"/>
                <w:sz w:val="22"/>
              </w:rPr>
              <w:t>06</w:t>
            </w:r>
            <w:r>
              <w:rPr>
                <w:rFonts w:hint="eastAsia" w:asciiTheme="minorEastAsia" w:hAnsiTheme="minorEastAsia" w:eastAsiaTheme="minorEastAsia"/>
                <w:sz w:val="22"/>
              </w:rPr>
              <w:t>を参</w:t>
            </w:r>
            <w:r>
              <w:rPr>
                <w:rFonts w:hint="eastAsia"/>
                <w:sz w:val="22"/>
              </w:rPr>
              <w:t>照ください。</w:t>
            </w:r>
          </w:p>
        </w:tc>
      </w:tr>
    </w:tbl>
    <w:p>
      <w:pPr>
        <w:pStyle w:val="15"/>
        <w:ind w:right="480"/>
        <w:jc w:val="right"/>
        <w:rPr>
          <w:rFonts w:hint="default"/>
          <w:spacing w:val="0"/>
          <w:sz w:val="24"/>
        </w:rPr>
      </w:pPr>
      <w:r>
        <w:rPr>
          <w:rFonts w:hint="eastAsia"/>
          <w:spacing w:val="0"/>
          <w:sz w:val="24"/>
        </w:rPr>
        <w:t>以上</w:t>
      </w:r>
    </w:p>
    <w:sectPr>
      <w:headerReference r:id="rId6" w:type="default"/>
      <w:footerReference r:id="rId7" w:type="default"/>
      <w:pgSz w:w="11906" w:h="16838"/>
      <w:pgMar w:top="1418" w:right="1134"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998925803"/>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p>
        <w:pPr>
          <w:pStyle w:val="0"/>
          <w:rPr>
            <w:rFonts w:hint="default"/>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35E3A3A"/>
    <w:lvl w:ilvl="0" w:tplc="F98B3243">
      <w:start w:val="1"/>
      <w:numFmt w:val="none"/>
      <w:lvlText w:val="⑭"/>
      <w:lvlJc w:val="left"/>
      <w:pPr>
        <w:ind w:left="419" w:hanging="420"/>
      </w:pPr>
      <w:rPr>
        <w:rFonts w:hint="eastAsia"/>
      </w:r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pPr>
      <w:widowControl w:val="0"/>
      <w:wordWrap w:val="0"/>
      <w:autoSpaceDE w:val="0"/>
      <w:autoSpaceDN w:val="0"/>
      <w:adjustRightInd w:val="0"/>
      <w:spacing w:line="359" w:lineRule="exact"/>
      <w:jc w:val="both"/>
    </w:pPr>
    <w:rPr>
      <w:rFonts w:ascii="ＭＳ 明朝" w:hAnsi="ＭＳ 明朝" w:eastAsia="ＭＳ 明朝"/>
      <w:spacing w:val="1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400" w:leftChars="400"/>
    </w:pPr>
  </w:style>
  <w:style w:type="character" w:styleId="23">
    <w:name w:val="page number"/>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footer" Target="footer1.xml" />
  <Relationship Id="rId8"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1</Pages>
  <Words>288</Words>
  <Characters>54</Characters>
  <Application>JUST Note</Application>
  <Lines>1</Lines>
  <Paragraphs>1</Paragraphs>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公募型指名入札　１１</dc:title>
  <dc:creator>西岡　靖</dc:creator>
  <cp:lastModifiedBy>001041 木内 香緒</cp:lastModifiedBy>
  <cp:lastPrinted>2025-04-30T01:41:00Z</cp:lastPrinted>
  <dcterms:created xsi:type="dcterms:W3CDTF">2014-10-02T05:43:00Z</dcterms:created>
  <dcterms:modified xsi:type="dcterms:W3CDTF">2025-04-30T01:56:39Z</dcterms:modified>
  <cp:revision>52</cp:revision>
</cp:coreProperties>
</file>